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ДОГОВОР ПОДРЯДА № ____</w:t>
      </w:r>
    </w:p>
    <w:p>
      <w:pPr>
        <w:jc w:val="center"/>
      </w:pPr>
      <w:r>
        <w:rPr>
          <w:b/>
        </w:rPr>
        <w:t>на изготовление, доставку и монтаж изделий из камня</w:t>
      </w:r>
    </w:p>
    <w:p>
      <w:r>
        <w:t>г. ____________                                                     «___» __________ 20__ г.</w:t>
      </w:r>
    </w:p>
    <w:p>
      <w:r>
        <w:t>____________________________, именуемый далее «Подрядчик», в лице __________________, действующего на основании __________, и ____________________________, именуемое далее «Заказчик», в лице __________________, действующего на основании __________, заключили настоящий договор.</w:t>
      </w:r>
    </w:p>
    <w:p>
      <w:pPr>
        <w:pStyle w:val="Heading1"/>
      </w:pPr>
      <w:r>
        <w:t>1. ПРЕДМЕТ ДОГОВОРА</w:t>
      </w:r>
    </w:p>
    <w:p>
      <w:r>
        <w:t>1.1. Подрядчик обязуется по заданию Заказчика изготовить индивидуально-определенные изделия из камня и выполнить согласованные сопутствующие работы, а Заказчик обязуется принять и оплатить результат.</w:t>
      </w:r>
    </w:p>
    <w:p>
      <w:r>
        <w:t>1.2. Под Изделиями понимаются столешницы, стеновые панели, подоконники, лестницы, камины, барные стойки, мебельные фасады, раковины и иные изделия из кварцевого агломерата, акрилового, натурального, кварцекерамического/спеченного камня и иных материалов, указанных в Спецификации.</w:t>
      </w:r>
    </w:p>
    <w:p>
      <w:r>
        <w:t>1.3. Конкретные материал, размеры, конфигурация, раскладка, стыки, кромки, вырезы, комплектность, доставка и монтаж определяются Спецификацией, Листом замера и утвержденным Техническим заданием/чертежом.</w:t>
      </w:r>
    </w:p>
    <w:p>
      <w:r>
        <w:t>1.4. Изделия изготавливаются индивидуально под конкретный объект. Правовые последствия отказа от договора, недостатков и иных требований определяются настоящим договором и применимым законодательством.</w:t>
      </w:r>
    </w:p>
    <w:p>
      <w:r>
        <w:t>1.5. Подрядчик самостоятельно определяет технологические зазоры, места технологически необходимых соединений и способы обработки в пределах утвержденного чертежа и технологии материала.</w:t>
      </w:r>
    </w:p>
    <w:p>
      <w:pPr>
        <w:pStyle w:val="Heading1"/>
      </w:pPr>
      <w:r>
        <w:t>2. МАТЕРИАЛ, СЛЭБ И ВНЕШНИЙ ВИД</w:t>
      </w:r>
    </w:p>
    <w:p>
      <w:r>
        <w:t>2.1. До запуска заказа фиксируются бренд, декор, толщина, поверхность и, когда это предусмотрено заказом, конкретный лист/слэб. Фотография/образец декора прилагается к Спецификации.</w:t>
      </w:r>
    </w:p>
    <w:p>
      <w:r>
        <w:t>2.2. Фото и изображение на экране не являются эталоном цветопередачи. Для выраженного рисунка рекомендуется согласование конкретного слэба и раскладки.</w:t>
      </w:r>
    </w:p>
    <w:p>
      <w:r>
        <w:t>2.3. Натуральный камень может иметь прожилки, поры, каверны, минеральные включения, неоднородность оттенка и локальную заводскую/технологическую реставрацию. Такие особенности оцениваются с учетом природы породы, согласованного слэба и пригодности изделия.</w:t>
      </w:r>
    </w:p>
    <w:p>
      <w:r>
        <w:t>2.4. Стыки изделий технологически необходимы и могут быть визуально и/или тактильно различимы. Абсолютная невидимость клеевого шва акрилового камня не гарантируется. Для кварца, керамики и натурального камня непрерывность рисунка через стык гарантируется только при отдельном письменном согласовании конкретной раскладки.</w:t>
      </w:r>
    </w:p>
    <w:p>
      <w:r>
        <w:t>2.5. Если материал предоставляет Заказчик/салон/третье лицо, оформляется Акт передачи материала. Подрядчик отвечает за сохранность и собственную обработку, но не за скрытый производственный дефект материала, кроме случаев нарушения обязанности предупредить об очевидной непригодности.</w:t>
      </w:r>
    </w:p>
    <w:p>
      <w:pPr>
        <w:pStyle w:val="Heading1"/>
      </w:pPr>
      <w:r>
        <w:t>3. ЦЕНА И ПОРЯДОК РАСЧЕТОВ</w:t>
      </w:r>
    </w:p>
    <w:p>
      <w:r>
        <w:t>3.1. До замера расчет может быть предварительным. Окончательная цена формируется после замера и утверждения Технического задания и указывается в Спецификации/Расчете стоимости.</w:t>
      </w:r>
    </w:p>
    <w:p>
      <w:r>
        <w:t>3.2. Рекомендуемый график: аванс ___% после согласования заказа; остаток ___% — __________________. Конкретный график имеет приоритет согласно Спецификации.</w:t>
      </w:r>
    </w:p>
    <w:p>
      <w:r>
        <w:t>3.3. Изменение материала, размеров, кромок, вырезов, техники, раскладки или иных параметров после утверждения ТЗ является изменением задания и может повлечь изменение цены и срока.</w:t>
      </w:r>
    </w:p>
    <w:p>
      <w:r>
        <w:t>3.4. Подъем вручную, повторный выезд, хранение, простой и работы, не включенные в первоначальный заказ, оплачиваются отдельно после согласования.</w:t>
      </w:r>
    </w:p>
    <w:p>
      <w:r>
        <w:t>3.5. При просрочке оплаты Подрядчик вправе приостановить производство, отгрузку или монтаж после уведомления. Срок исполнения продлевается на период просрочки и разумный срок возобновления.</w:t>
      </w:r>
    </w:p>
    <w:p>
      <w:pPr>
        <w:pStyle w:val="Heading1"/>
      </w:pPr>
      <w:r>
        <w:t>4. ЗАМЕР И ТЕХНИЧЕСКОЕ ЗАДАНИЕ</w:t>
      </w:r>
    </w:p>
    <w:p>
      <w:r>
        <w:t>4.1. Заказчик обеспечивает к замеру окончательно собранное, установленное по уровню и закрепленное основание. Для подоконников и иных изделий обеспечивается подготовленное основание согласно ТЗ.</w:t>
      </w:r>
    </w:p>
    <w:p>
      <w:r>
        <w:t>4.2. До замера Заказчик предоставляет мойку, варочную панель и иные элементы либо точные модели и техническую документацию, если их параметры влияют на изделие.</w:t>
      </w:r>
    </w:p>
    <w:p>
      <w:r>
        <w:t>4.3. Заказчик обязан сообщить о скрытых коммуникациях и обозначить их расположение. Подрядчик не отвечает за повреждение не обозначенных коммуникаций, которые невозможно было разумно выявить до работ.</w:t>
      </w:r>
    </w:p>
    <w:p>
      <w:r>
        <w:t>4.4. При замере Подрядчик вправе производить фото-/видеофиксацию монтажных поверхностей.</w:t>
      </w:r>
    </w:p>
    <w:p>
      <w:r>
        <w:t>4.5. После замера Заказчик обязан сохранять неизменными положение и геометрию мебели, оснований, стен, проемов и иных сопрягаемых элементов. Любые влияющие на размеры изменения должны быть заранее согласованы.</w:t>
      </w:r>
    </w:p>
    <w:p>
      <w:r>
        <w:t>4.6. Если замер выполнен Подрядчиком, он отвечает за корректность снятых им размеров. Если производство осуществляется по размерам/чертежам Заказчика, салона или третьего лица, риск ошибок таких исходных данных несет предоставившее их лицо, если Подрядчик не знал и не должен был знать об ошибке.</w:t>
      </w:r>
    </w:p>
    <w:p>
      <w:pPr>
        <w:pStyle w:val="Heading1"/>
      </w:pPr>
      <w:r>
        <w:t>5. СОГЛАСОВАНИЕ ЧЕРТЕЖА И ЗАПУСК</w:t>
      </w:r>
    </w:p>
    <w:p>
      <w:r>
        <w:t>5.1. Подрядчик формирует Техническое задание/рабочий чертеж. Заказчик проверяет габариты, конфигурацию, стыки, кромки, вырезы, расположение мойки и техники и подтверждает статус «Согласовано в производство».</w:t>
      </w:r>
    </w:p>
    <w:p>
      <w:r>
        <w:t>5.2. Согласование допускается подписью, ЭДО, согласованной электронной почтой или мессенджером, позволяющим идентифицировать отправителя.</w:t>
      </w:r>
    </w:p>
    <w:p>
      <w:r>
        <w:t>5.3. Производство начинается после утверждения ТЗ и выполнения стартового платежа, а при необходимости — после поступления материала.</w:t>
      </w:r>
    </w:p>
    <w:p>
      <w:pPr>
        <w:pStyle w:val="Heading1"/>
      </w:pPr>
      <w:r>
        <w:t>6. СРОКИ</w:t>
      </w:r>
    </w:p>
    <w:p>
      <w:r>
        <w:t>6.1. Срок выполнения заказа: ______ рабочих дней после одновременного наступления условий п. 5.3, если иной срок не указан в Спецификации.</w:t>
      </w:r>
    </w:p>
    <w:p>
      <w:r>
        <w:t>6.2. При отсутствии материала срок исчисляется с даты его поступления Подрядчику/на согласованный склад, если Заказчик был уведомлен о необходимости ожидания.</w:t>
      </w:r>
    </w:p>
    <w:p>
      <w:r>
        <w:t>6.3. Срок продлевается соразмерно задержке, вызванной изменением задания, непредоставлением данных/техники, неготовностью объекта, отсутствием доступа или просрочкой встречных обязанностей Заказчика.</w:t>
      </w:r>
    </w:p>
    <w:p>
      <w:pPr>
        <w:pStyle w:val="Heading1"/>
      </w:pPr>
      <w:r>
        <w:t>7. ГОТОВНОСТЬ ОБЪЕКТА И МОНТАЖ</w:t>
      </w:r>
    </w:p>
    <w:p>
      <w:pPr>
        <w:pStyle w:val="ListBullet"/>
      </w:pPr>
      <w:r>
        <w:t>основание окончательно установлено, закреплено и выровнено;</w:t>
      </w:r>
    </w:p>
    <w:p>
      <w:pPr>
        <w:pStyle w:val="ListBullet"/>
      </w:pPr>
      <w:r>
        <w:t>геометрия после замера не изменена;</w:t>
      </w:r>
    </w:p>
    <w:p>
      <w:pPr>
        <w:pStyle w:val="ListBullet"/>
      </w:pPr>
      <w:r>
        <w:t>обеспечены безопасный занос, доступ, освещение и электричество;</w:t>
      </w:r>
    </w:p>
    <w:p>
      <w:pPr>
        <w:pStyle w:val="ListBullet"/>
      </w:pPr>
      <w:r>
        <w:t>техника и мойка доступны в согласованном состоянии;</w:t>
      </w:r>
    </w:p>
    <w:p>
      <w:pPr>
        <w:pStyle w:val="ListBullet"/>
      </w:pPr>
      <w:r>
        <w:t>скрытые коммуникации обозначены;</w:t>
      </w:r>
    </w:p>
    <w:p>
      <w:pPr>
        <w:pStyle w:val="ListBullet"/>
      </w:pPr>
      <w:r>
        <w:t>иные работы на объекте не препятствуют монтажу.</w:t>
      </w:r>
    </w:p>
    <w:p>
      <w:r>
        <w:t>7.2. При неготовности объекта Подрядчик фиксирует препятствия фото/видео и вправе перенести монтаж. Повторный выезд и дополнительные работы оплачиваются в согласованном размере.</w:t>
      </w:r>
    </w:p>
    <w:p>
      <w:r>
        <w:t>7.3. Сантехнические, электрические, газовые, мебельные и отделочные работы не входят в монтаж, если прямо не включены в Спецификацию.</w:t>
      </w:r>
    </w:p>
    <w:p>
      <w:r>
        <w:t>7.4. При самостоятельном монтаже Заказчиком Подрядчик не отвечает за дефекты и повреждения, причинно связанные с таким монтажом; ответственность за дефекты материала/изготовления определяется отдельно по их причине.</w:t>
      </w:r>
    </w:p>
    <w:p>
      <w:pPr>
        <w:pStyle w:val="Heading1"/>
      </w:pPr>
      <w:r>
        <w:t>8. ПРИЕМКА</w:t>
      </w:r>
    </w:p>
    <w:p>
      <w:r>
        <w:t>8.1. Заказчик обязан в день передачи осмотреть результат и указать все выявленные видимые замечания в Акте/дефектной ведомости.</w:t>
      </w:r>
    </w:p>
    <w:p>
      <w:r>
        <w:t>8.2. При необоснованном уклонении от приемки более 3 рабочих дней после уведомления Подрядчик вправе оформить односторонний акт с фото-/видеофиксацией. Фактическое использование результата без мотивированных замечаний учитывается как доказательство приемки.</w:t>
      </w:r>
    </w:p>
    <w:p>
      <w:pPr>
        <w:pStyle w:val="Heading1"/>
      </w:pPr>
      <w:r>
        <w:t>9. ГАРАНТИЯ И РАЗГРАНИЧЕНИЕ ПРИЧИН ДЕФЕКТА</w:t>
      </w:r>
    </w:p>
    <w:p>
      <w:r>
        <w:t>9.1. Гарантия на работы Подрядчика составляет ____ месяцев, если иной срок не установлен Спецификацией или обязательной нормой закона.</w:t>
      </w:r>
    </w:p>
    <w:p>
      <w:r>
        <w:t>9.2. При претензии причина дефекта определяется отдельно по категориям: (а) производственный дефект материала; (б) обработка/изготовление; (в) монтаж; (г) основание/объект; (д) эксплуатация; (е) вмешательство третьих лиц; (ж) смешанная причина.</w:t>
      </w:r>
    </w:p>
    <w:p>
      <w:r>
        <w:t>9.3. Подрядчик не отвечает за последствия деформации/просадки мебели и основания, движения конструкций, протечек, ударов, перегрева, перегрузки, применения неподходящей химии, самостоятельной шлифовки/ремонта либо работ третьих лиц в той мере, в какой установлена причинная связь.</w:t>
      </w:r>
    </w:p>
    <w:p>
      <w:r>
        <w:t>9.4. Гарантия производителя/импортера на материал не подменяет ответственность Подрядчика за его собственные работы и, наоборот, не превращает Подрядчика автоматически в ответственное лицо за производственный дефект материала, который он не поставлял.</w:t>
      </w:r>
    </w:p>
    <w:p>
      <w:pPr>
        <w:pStyle w:val="Heading1"/>
      </w:pPr>
      <w:r>
        <w:t>10. ПРЕТЕНЗИЯ, ОСМОТР И ЭКСПЕРТИЗА</w:t>
      </w:r>
    </w:p>
    <w:p>
      <w:r>
        <w:t>10.1. При обнаружении предполагаемого недостатка Заказчик сообщает описание, дату обнаружения и по возможности направляет фото/видео и предоставляет Подрядчику разумную возможность осмотра.</w:t>
      </w:r>
    </w:p>
    <w:p>
      <w:r>
        <w:t>10.2. До осмотра рекомендуется не изменять состояние спорного участка: не шлифовать, не полировать, не демонтировать и не применять агрессивную химию, кроме необходимых мер для предотвращения увеличения ущерба.</w:t>
      </w:r>
    </w:p>
    <w:p>
      <w:r>
        <w:t>10.3. Вмешательство третьего лица не прекращает требования автоматически, но учитывается при установлении причины дефекта и возможности достоверно определить первоначальное состояние.</w:t>
      </w:r>
    </w:p>
    <w:p>
      <w:r>
        <w:t>10.4. При споре стороны проводят совместный осмотр и вправе согласовать независимого специалиста/экспертную организацию. Расходы относятся на ответственную сторону согласно установленной причине, договору, закону или судебному акту.</w:t>
      </w:r>
    </w:p>
    <w:p>
      <w:pPr>
        <w:pStyle w:val="Heading1"/>
      </w:pPr>
      <w:r>
        <w:t>11. ОСОБЫЕ УСЛОВИЯ ДЛЯ САЛОНА / ПРОФЕССИОНАЛЬНОГО ЗАКАЗЧИКА</w:t>
      </w:r>
    </w:p>
    <w:p>
      <w:r>
        <w:t>11.1. Если Заказчик является мебельным салоном, дилером, дизайнером, генподрядчиком или иным посредником, он отвечает за полноту и достоверность переданных Подрядчику согласований конечного покупателя.</w:t>
      </w:r>
    </w:p>
    <w:p>
      <w:r>
        <w:t>11.2. Конечный покупатель не становится стороной настоящего договора. Претензия конечного покупателя сама по себе не подтверждает нарушение Подрядчика.</w:t>
      </w:r>
    </w:p>
    <w:p>
      <w:r>
        <w:t>11.3. Заказчик не вправе без участия Подрядчика признавать за его счет требования конечного покупателя, обещать замену/возврат либо поручать третьему лицу ремонт с последующим взысканием расходов, кроме неотложных мер по предотвращению ущерба.</w:t>
      </w:r>
    </w:p>
    <w:p>
      <w:r>
        <w:t>11.4. Добровольная скидка, возврат, компенсация либо иная коммерческая уступка Заказчика конечному покупателю не является автоматически убытком Подрядчика.</w:t>
      </w:r>
    </w:p>
    <w:p>
      <w:pPr>
        <w:pStyle w:val="Heading1"/>
      </w:pPr>
      <w:r>
        <w:t>12. ОТВЕТСТВЕННОСТЬ</w:t>
      </w:r>
    </w:p>
    <w:p>
      <w:r>
        <w:t>12.1. За просрочку оплаты Заказчик уплачивает пеню 0,1% от просроченной суммы за день, но не более 10%.</w:t>
      </w:r>
    </w:p>
    <w:p>
      <w:r>
        <w:t>12.2. Убытки подлежат возмещению при доказанности нарушения, размера и причинной связи. Коммерческие выплаты Заказчика третьим лицам не создают автоматически обязанность Подрядчика по их возмещению.</w:t>
      </w:r>
    </w:p>
    <w:p>
      <w:pPr>
        <w:pStyle w:val="Heading1"/>
      </w:pPr>
      <w:r>
        <w:t>13. ОТКАЗ ОТ ДОГОВОРА</w:t>
      </w:r>
    </w:p>
    <w:p>
      <w:r>
        <w:t>13.1. При отказе Заказчика расчеты производятся с учетом выполненной части работ, приобретенных под индивидуальный заказ материалов, разумных расходов и иных последствий, установленных законом.</w:t>
      </w:r>
    </w:p>
    <w:p>
      <w:pPr>
        <w:pStyle w:val="Heading1"/>
      </w:pPr>
      <w:r>
        <w:t>14. ЭЛЕКТРОННЫЙ ОБМЕН И ФОТОФИКСАЦИЯ</w:t>
      </w:r>
    </w:p>
    <w:p>
      <w:r>
        <w:t>14.1. Стороны признают согласованные e-mail, ЭДО и указанные в Спецификации номера телефонов/мессенджеров каналами оперативного согласования, если возможно определить отправителя и содержание.</w:t>
      </w:r>
    </w:p>
    <w:p>
      <w:r>
        <w:t>14.2. Фото-/видеофиксация замера, объекта, материала, доставки, монтажа и состояния изделия допускается для исполнения договора и рассмотрения претензий с соблюдением законодательства.</w:t>
      </w:r>
    </w:p>
    <w:p>
      <w:pPr>
        <w:pStyle w:val="Heading1"/>
      </w:pPr>
      <w:r>
        <w:t>15. СПОРЫ</w:t>
      </w:r>
    </w:p>
    <w:p>
      <w:r>
        <w:t>15.1. До обращения в суд сторона направляет письменную претензию; срок ответа — 10 рабочих дней. Спор рассматривается арбитражным судом по месту нахождения Подрядчика, если иное не установлено законом или Спецификацией.</w:t>
      </w:r>
    </w:p>
    <w:p>
      <w:pPr>
        <w:pStyle w:val="Heading1"/>
      </w:pPr>
      <w:r>
        <w:t>16. ПРИЛОЖЕНИЯ</w:t>
      </w:r>
    </w:p>
    <w:p>
      <w:r>
        <w:t>16.1. Неотъемлемые приложения: №1 Спецификация и выбранный материал; №2 Лист замера, Техническое задание и рабочий чертеж; №3 Расчет стоимости; №4 Согласование слэба/раскладки; №5 Акт готовности объекта; №6 Акт фотофиксации; №7 Памятка по эксплуатации; №8 Акт сдачи-приемки; №9 Дефектная ведомость; №10 Акт передачи материала Заказчика (при наличии).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</w:tcPr>
          <w:p>
            <w:r>
              <w:t>ПОДРЯДЧИК</w:t>
              <w:br/>
              <w:t>Наименование/Ф.И.О.: __________________</w:t>
              <w:br/>
              <w:t>ИНН: __________________</w:t>
              <w:br/>
              <w:t>ОГРН/ОГРНИП: __________</w:t>
              <w:br/>
              <w:t>Адрес: _________________</w:t>
              <w:br/>
              <w:t>Тел./e-mail: ___________</w:t>
              <w:br/>
              <w:br/>
              <w:t>___________ / ___________</w:t>
            </w:r>
          </w:p>
        </w:tc>
        <w:tc>
          <w:tcPr>
            <w:tcW w:type="dxa" w:w="5128"/>
          </w:tcPr>
          <w:p>
            <w:r>
              <w:t>ЗАКАЗЧИК</w:t>
              <w:br/>
              <w:t>Наименование: ____________</w:t>
              <w:br/>
              <w:t>ИНН/КПП: _________________</w:t>
              <w:br/>
              <w:t>ОГРН/ОГРНИП: _____________</w:t>
              <w:br/>
              <w:t>Адрес: ___________________</w:t>
              <w:br/>
              <w:t>Тел./e-mail: _____________</w:t>
              <w:br/>
              <w:br/>
              <w:t>___________ / ___________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64" w:right="850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PRIMAX • шаблон договора обработчика v4.0 • 20.08.2026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